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395B" w14:textId="77777777" w:rsidR="0026305B" w:rsidRPr="00CC1111" w:rsidRDefault="0026305B" w:rsidP="0026305B">
      <w:pPr>
        <w:spacing w:before="3" w:after="1"/>
        <w:jc w:val="center"/>
        <w:rPr>
          <w:b/>
          <w:bCs/>
          <w:sz w:val="32"/>
          <w:szCs w:val="32"/>
          <w:lang w:eastAsia="zh-CN"/>
        </w:rPr>
      </w:pPr>
      <w:r w:rsidRPr="00CC1111">
        <w:rPr>
          <w:rFonts w:eastAsia="SimSun"/>
          <w:b/>
          <w:bCs/>
          <w:sz w:val="32"/>
          <w:szCs w:val="32"/>
          <w:lang w:eastAsia="zh-CN"/>
        </w:rPr>
        <w:t>入学计划</w:t>
      </w:r>
    </w:p>
    <w:p w14:paraId="37DC9FC5" w14:textId="1FF7B8E4" w:rsidR="0026305B" w:rsidRPr="00CC1111" w:rsidRDefault="0026305B" w:rsidP="0026305B">
      <w:pPr>
        <w:spacing w:before="3" w:after="1"/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CC1111">
        <w:rPr>
          <w:b/>
          <w:bCs/>
          <w:sz w:val="32"/>
          <w:szCs w:val="32"/>
          <w:lang w:eastAsia="zh-CN"/>
        </w:rPr>
        <w:t>2024/2025</w:t>
      </w:r>
      <w:r w:rsidRPr="00CC1111">
        <w:rPr>
          <w:rFonts w:eastAsia="SimSun"/>
          <w:b/>
          <w:bCs/>
          <w:sz w:val="32"/>
          <w:szCs w:val="32"/>
          <w:lang w:eastAsia="zh-CN"/>
        </w:rPr>
        <w:t>学年面授教育</w:t>
      </w:r>
    </w:p>
    <w:p w14:paraId="4DB4952C" w14:textId="6C8EA854" w:rsidR="005740B8" w:rsidRPr="00CC1111" w:rsidRDefault="0026305B" w:rsidP="0026305B">
      <w:pPr>
        <w:spacing w:before="3" w:after="1"/>
        <w:jc w:val="center"/>
        <w:rPr>
          <w:b/>
          <w:sz w:val="32"/>
          <w:szCs w:val="32"/>
          <w:lang w:eastAsia="zh-CN"/>
        </w:rPr>
      </w:pPr>
      <w:r w:rsidRPr="00CC1111">
        <w:rPr>
          <w:rFonts w:eastAsia="SimSun"/>
          <w:b/>
          <w:bCs/>
          <w:sz w:val="32"/>
          <w:szCs w:val="32"/>
          <w:lang w:eastAsia="zh-CN"/>
        </w:rPr>
        <w:t>硕士学位课程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6496"/>
      </w:tblGrid>
      <w:tr w:rsidR="0082000F" w:rsidRPr="00CC1111" w14:paraId="01D3B5DE" w14:textId="77777777">
        <w:trPr>
          <w:trHeight w:val="510"/>
        </w:trPr>
        <w:tc>
          <w:tcPr>
            <w:tcW w:w="4720" w:type="dxa"/>
          </w:tcPr>
          <w:p w14:paraId="67251039" w14:textId="1B5720C7" w:rsidR="0082000F" w:rsidRPr="00CC1111" w:rsidRDefault="0082000F">
            <w:pPr>
              <w:pStyle w:val="TableParagraph"/>
              <w:spacing w:before="131" w:line="240" w:lineRule="auto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建筑工程</w:t>
            </w:r>
            <w:proofErr w:type="spellEnd"/>
          </w:p>
        </w:tc>
        <w:tc>
          <w:tcPr>
            <w:tcW w:w="6496" w:type="dxa"/>
          </w:tcPr>
          <w:p w14:paraId="13EC37C5" w14:textId="3427CE39" w:rsidR="0082000F" w:rsidRPr="00CC1111" w:rsidRDefault="0082000F">
            <w:pPr>
              <w:pStyle w:val="TableParagraph"/>
              <w:spacing w:before="131" w:line="240" w:lineRule="auto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工业和土木工程：设计</w:t>
            </w:r>
          </w:p>
        </w:tc>
      </w:tr>
      <w:tr w:rsidR="0082000F" w:rsidRPr="00CC1111" w14:paraId="02ADBE83" w14:textId="77777777">
        <w:trPr>
          <w:trHeight w:val="244"/>
        </w:trPr>
        <w:tc>
          <w:tcPr>
            <w:tcW w:w="4720" w:type="dxa"/>
            <w:vMerge w:val="restart"/>
          </w:tcPr>
          <w:p w14:paraId="11CE3091" w14:textId="1EC1B0F9" w:rsidR="0082000F" w:rsidRPr="00CC1111" w:rsidRDefault="0082000F">
            <w:pPr>
              <w:pStyle w:val="TableParagraph"/>
              <w:spacing w:line="241" w:lineRule="exact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计算机科学与工程</w:t>
            </w:r>
            <w:proofErr w:type="spellEnd"/>
          </w:p>
        </w:tc>
        <w:tc>
          <w:tcPr>
            <w:tcW w:w="6496" w:type="dxa"/>
          </w:tcPr>
          <w:p w14:paraId="2E29D397" w14:textId="77777777" w:rsidR="0082000F" w:rsidRPr="00CC1111" w:rsidRDefault="0082000F">
            <w:pPr>
              <w:pStyle w:val="TableParagraph"/>
              <w:spacing w:line="240" w:lineRule="auto"/>
              <w:jc w:val="left"/>
              <w:rPr>
                <w:rFonts w:eastAsia="KaiTi"/>
                <w:sz w:val="24"/>
                <w:szCs w:val="24"/>
              </w:rPr>
            </w:pPr>
          </w:p>
        </w:tc>
      </w:tr>
      <w:tr w:rsidR="0082000F" w:rsidRPr="00CC1111" w14:paraId="2D335857" w14:textId="77777777">
        <w:trPr>
          <w:trHeight w:val="510"/>
        </w:trPr>
        <w:tc>
          <w:tcPr>
            <w:tcW w:w="4720" w:type="dxa"/>
            <w:vMerge/>
            <w:tcBorders>
              <w:top w:val="nil"/>
            </w:tcBorders>
          </w:tcPr>
          <w:p w14:paraId="663E9447" w14:textId="77777777" w:rsidR="0082000F" w:rsidRPr="00CC1111" w:rsidRDefault="0082000F">
            <w:pPr>
              <w:rPr>
                <w:rFonts w:eastAsia="KaiTi"/>
                <w:sz w:val="24"/>
                <w:szCs w:val="24"/>
              </w:rPr>
            </w:pPr>
          </w:p>
        </w:tc>
        <w:tc>
          <w:tcPr>
            <w:tcW w:w="6496" w:type="dxa"/>
          </w:tcPr>
          <w:p w14:paraId="56A749C1" w14:textId="56063220" w:rsidR="0082000F" w:rsidRPr="00CC1111" w:rsidRDefault="0082000F">
            <w:pPr>
              <w:pStyle w:val="TableParagraph"/>
              <w:spacing w:before="22" w:line="234" w:lineRule="exact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决策支持系统中大数据的智能分析</w:t>
            </w:r>
          </w:p>
        </w:tc>
        <w:bookmarkStart w:id="0" w:name="_GoBack"/>
        <w:bookmarkEnd w:id="0"/>
      </w:tr>
      <w:tr w:rsidR="0082000F" w:rsidRPr="00CC1111" w14:paraId="57D98A85" w14:textId="77777777" w:rsidTr="0082000F">
        <w:trPr>
          <w:trHeight w:val="332"/>
        </w:trPr>
        <w:tc>
          <w:tcPr>
            <w:tcW w:w="4720" w:type="dxa"/>
            <w:vMerge/>
            <w:tcBorders>
              <w:top w:val="nil"/>
            </w:tcBorders>
          </w:tcPr>
          <w:p w14:paraId="55C215A4" w14:textId="77777777" w:rsidR="0082000F" w:rsidRPr="00CC1111" w:rsidRDefault="0082000F">
            <w:pPr>
              <w:rPr>
                <w:rFonts w:eastAsia="KaiTi"/>
                <w:sz w:val="24"/>
                <w:szCs w:val="24"/>
                <w:lang w:eastAsia="zh-CN"/>
              </w:rPr>
            </w:pPr>
          </w:p>
        </w:tc>
        <w:tc>
          <w:tcPr>
            <w:tcW w:w="6496" w:type="dxa"/>
          </w:tcPr>
          <w:p w14:paraId="50EC235A" w14:textId="019FB021" w:rsidR="0082000F" w:rsidRPr="00CC1111" w:rsidRDefault="0082000F" w:rsidP="0082000F">
            <w:pPr>
              <w:pStyle w:val="TableParagraph"/>
              <w:spacing w:line="233" w:lineRule="exact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自动化信息处理和管理系统中的人工智能</w:t>
            </w:r>
          </w:p>
        </w:tc>
      </w:tr>
      <w:tr w:rsidR="0082000F" w:rsidRPr="00CC1111" w14:paraId="0AAC7321" w14:textId="77777777">
        <w:trPr>
          <w:trHeight w:val="243"/>
        </w:trPr>
        <w:tc>
          <w:tcPr>
            <w:tcW w:w="4720" w:type="dxa"/>
          </w:tcPr>
          <w:p w14:paraId="5F4C4757" w14:textId="7EB9DB51" w:rsidR="0082000F" w:rsidRPr="00CC1111" w:rsidRDefault="0082000F">
            <w:pPr>
              <w:pStyle w:val="TableParagraph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火电工程与热力工程</w:t>
            </w:r>
            <w:proofErr w:type="spellEnd"/>
          </w:p>
        </w:tc>
        <w:tc>
          <w:tcPr>
            <w:tcW w:w="6496" w:type="dxa"/>
          </w:tcPr>
          <w:p w14:paraId="0C59AD19" w14:textId="0E4DC7FB" w:rsidR="0082000F" w:rsidRPr="00CC1111" w:rsidRDefault="0082000F" w:rsidP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电能和热能生产技术</w:t>
            </w:r>
          </w:p>
        </w:tc>
      </w:tr>
      <w:tr w:rsidR="0082000F" w:rsidRPr="00CC1111" w14:paraId="052C281F" w14:textId="77777777">
        <w:trPr>
          <w:trHeight w:val="244"/>
        </w:trPr>
        <w:tc>
          <w:tcPr>
            <w:tcW w:w="4720" w:type="dxa"/>
          </w:tcPr>
          <w:p w14:paraId="10162E9A" w14:textId="24C03AE6" w:rsidR="0082000F" w:rsidRPr="00CC1111" w:rsidRDefault="0082000F">
            <w:pPr>
              <w:pStyle w:val="TableParagraph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技术圈安全</w:t>
            </w:r>
            <w:proofErr w:type="spellEnd"/>
          </w:p>
        </w:tc>
        <w:tc>
          <w:tcPr>
            <w:tcW w:w="6496" w:type="dxa"/>
          </w:tcPr>
          <w:p w14:paraId="3E068224" w14:textId="7633467E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综合职业安全及健康</w:t>
            </w:r>
            <w:proofErr w:type="spellEnd"/>
          </w:p>
        </w:tc>
      </w:tr>
      <w:tr w:rsidR="0082000F" w:rsidRPr="00CC1111" w14:paraId="7E0ECEBA" w14:textId="77777777">
        <w:trPr>
          <w:trHeight w:val="243"/>
        </w:trPr>
        <w:tc>
          <w:tcPr>
            <w:tcW w:w="4720" w:type="dxa"/>
            <w:vMerge w:val="restart"/>
          </w:tcPr>
          <w:p w14:paraId="03945187" w14:textId="62FCEE78" w:rsidR="0082000F" w:rsidRPr="00CC1111" w:rsidRDefault="0082000F">
            <w:pPr>
              <w:pStyle w:val="TableParagraph"/>
              <w:spacing w:before="121" w:line="240" w:lineRule="auto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经济体系</w:t>
            </w:r>
            <w:proofErr w:type="spellEnd"/>
          </w:p>
        </w:tc>
        <w:tc>
          <w:tcPr>
            <w:tcW w:w="6496" w:type="dxa"/>
          </w:tcPr>
          <w:p w14:paraId="6C08596B" w14:textId="7AF0975E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本组织的经济学</w:t>
            </w:r>
            <w:proofErr w:type="spellEnd"/>
          </w:p>
        </w:tc>
      </w:tr>
      <w:tr w:rsidR="0082000F" w:rsidRPr="00CC1111" w14:paraId="75B850A3" w14:textId="77777777">
        <w:trPr>
          <w:trHeight w:val="244"/>
        </w:trPr>
        <w:tc>
          <w:tcPr>
            <w:tcW w:w="4720" w:type="dxa"/>
            <w:vMerge/>
            <w:tcBorders>
              <w:top w:val="nil"/>
            </w:tcBorders>
          </w:tcPr>
          <w:p w14:paraId="2215B2A6" w14:textId="77777777" w:rsidR="0082000F" w:rsidRPr="00CC1111" w:rsidRDefault="0082000F">
            <w:pPr>
              <w:rPr>
                <w:rFonts w:eastAsia="KaiTi"/>
                <w:sz w:val="24"/>
                <w:szCs w:val="24"/>
              </w:rPr>
            </w:pPr>
          </w:p>
        </w:tc>
        <w:tc>
          <w:tcPr>
            <w:tcW w:w="6496" w:type="dxa"/>
          </w:tcPr>
          <w:p w14:paraId="35735648" w14:textId="2E1C1928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国际贸易</w:t>
            </w:r>
            <w:proofErr w:type="spellEnd"/>
          </w:p>
        </w:tc>
      </w:tr>
      <w:tr w:rsidR="0082000F" w:rsidRPr="00CC1111" w14:paraId="03C6E51D" w14:textId="77777777">
        <w:trPr>
          <w:trHeight w:val="243"/>
        </w:trPr>
        <w:tc>
          <w:tcPr>
            <w:tcW w:w="4720" w:type="dxa"/>
          </w:tcPr>
          <w:p w14:paraId="36B5C31A" w14:textId="22FC560C" w:rsidR="0082000F" w:rsidRPr="00CC1111" w:rsidRDefault="0082000F" w:rsidP="0082000F">
            <w:pPr>
              <w:pStyle w:val="TableParagraph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人事管理</w:t>
            </w:r>
            <w:proofErr w:type="spellEnd"/>
          </w:p>
        </w:tc>
        <w:tc>
          <w:tcPr>
            <w:tcW w:w="6496" w:type="dxa"/>
          </w:tcPr>
          <w:p w14:paraId="760A8C51" w14:textId="764A769A" w:rsidR="0082000F" w:rsidRPr="00CC1111" w:rsidRDefault="0082000F" w:rsidP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人力资本管理转型</w:t>
            </w:r>
            <w:proofErr w:type="spellEnd"/>
          </w:p>
        </w:tc>
      </w:tr>
      <w:tr w:rsidR="0082000F" w:rsidRPr="00CC1111" w14:paraId="6D84939A" w14:textId="77777777" w:rsidTr="0082000F">
        <w:trPr>
          <w:trHeight w:val="357"/>
        </w:trPr>
        <w:tc>
          <w:tcPr>
            <w:tcW w:w="4720" w:type="dxa"/>
            <w:vMerge w:val="restart"/>
          </w:tcPr>
          <w:p w14:paraId="5A36DE6B" w14:textId="77777777" w:rsidR="0082000F" w:rsidRPr="00CC1111" w:rsidRDefault="0082000F">
            <w:pPr>
              <w:pStyle w:val="TableParagraph"/>
              <w:spacing w:line="240" w:lineRule="auto"/>
              <w:jc w:val="left"/>
              <w:rPr>
                <w:rFonts w:eastAsia="KaiTi"/>
                <w:b/>
                <w:sz w:val="24"/>
                <w:szCs w:val="24"/>
              </w:rPr>
            </w:pPr>
          </w:p>
          <w:p w14:paraId="05FF9BF8" w14:textId="3D8C5EC5" w:rsidR="0082000F" w:rsidRPr="00CC1111" w:rsidRDefault="0082000F">
            <w:pPr>
              <w:pStyle w:val="TableParagraph"/>
              <w:spacing w:line="240" w:lineRule="auto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社会学</w:t>
            </w:r>
            <w:proofErr w:type="spellEnd"/>
          </w:p>
        </w:tc>
        <w:tc>
          <w:tcPr>
            <w:tcW w:w="6496" w:type="dxa"/>
          </w:tcPr>
          <w:p w14:paraId="75DF8FAB" w14:textId="6CD0D883" w:rsidR="0082000F" w:rsidRPr="00CC1111" w:rsidRDefault="0082000F">
            <w:pPr>
              <w:pStyle w:val="TableParagraph"/>
              <w:spacing w:before="22" w:line="234" w:lineRule="exact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研究社会问题的现代方法和技术</w:t>
            </w:r>
          </w:p>
        </w:tc>
      </w:tr>
      <w:tr w:rsidR="0082000F" w:rsidRPr="00CC1111" w14:paraId="35D9ADE5" w14:textId="77777777">
        <w:trPr>
          <w:trHeight w:val="244"/>
        </w:trPr>
        <w:tc>
          <w:tcPr>
            <w:tcW w:w="4720" w:type="dxa"/>
            <w:vMerge/>
            <w:tcBorders>
              <w:top w:val="nil"/>
            </w:tcBorders>
          </w:tcPr>
          <w:p w14:paraId="5C42D872" w14:textId="77777777" w:rsidR="0082000F" w:rsidRPr="00CC1111" w:rsidRDefault="0082000F">
            <w:pPr>
              <w:rPr>
                <w:rFonts w:eastAsia="KaiTi"/>
                <w:sz w:val="24"/>
                <w:szCs w:val="24"/>
                <w:lang w:eastAsia="zh-CN"/>
              </w:rPr>
            </w:pPr>
          </w:p>
        </w:tc>
        <w:tc>
          <w:tcPr>
            <w:tcW w:w="6496" w:type="dxa"/>
          </w:tcPr>
          <w:p w14:paraId="0B766E60" w14:textId="075E059E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管理与数字分析社会学</w:t>
            </w:r>
          </w:p>
        </w:tc>
      </w:tr>
      <w:tr w:rsidR="0082000F" w:rsidRPr="00CC1111" w14:paraId="059E8BB5" w14:textId="77777777">
        <w:trPr>
          <w:trHeight w:val="244"/>
        </w:trPr>
        <w:tc>
          <w:tcPr>
            <w:tcW w:w="4720" w:type="dxa"/>
          </w:tcPr>
          <w:p w14:paraId="0A098608" w14:textId="35650CC7" w:rsidR="0082000F" w:rsidRPr="00CC1111" w:rsidRDefault="0082000F">
            <w:pPr>
              <w:pStyle w:val="TableParagraph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法理学</w:t>
            </w:r>
            <w:proofErr w:type="spellEnd"/>
          </w:p>
        </w:tc>
        <w:tc>
          <w:tcPr>
            <w:tcW w:w="6496" w:type="dxa"/>
          </w:tcPr>
          <w:p w14:paraId="2A679AAD" w14:textId="1A69A9C6" w:rsidR="0082000F" w:rsidRPr="00CC1111" w:rsidRDefault="0082000F" w:rsidP="0082000F">
            <w:pPr>
              <w:pStyle w:val="TableParagraph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法理学</w:t>
            </w:r>
            <w:proofErr w:type="spellEnd"/>
          </w:p>
        </w:tc>
      </w:tr>
      <w:tr w:rsidR="0082000F" w:rsidRPr="00CC1111" w14:paraId="080DD9E9" w14:textId="77777777">
        <w:trPr>
          <w:trHeight w:val="243"/>
        </w:trPr>
        <w:tc>
          <w:tcPr>
            <w:tcW w:w="4720" w:type="dxa"/>
          </w:tcPr>
          <w:p w14:paraId="0A3932CB" w14:textId="3F4D177F" w:rsidR="0082000F" w:rsidRPr="00CC1111" w:rsidRDefault="0082000F">
            <w:pPr>
              <w:pStyle w:val="TableParagraph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国际关系</w:t>
            </w:r>
            <w:proofErr w:type="spellEnd"/>
          </w:p>
        </w:tc>
        <w:tc>
          <w:tcPr>
            <w:tcW w:w="6496" w:type="dxa"/>
          </w:tcPr>
          <w:p w14:paraId="4F5E54FC" w14:textId="08DC9F70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国际关系</w:t>
            </w:r>
            <w:proofErr w:type="spellEnd"/>
          </w:p>
        </w:tc>
      </w:tr>
      <w:tr w:rsidR="0082000F" w:rsidRPr="00CC1111" w14:paraId="3F4A4745" w14:textId="77777777">
        <w:trPr>
          <w:trHeight w:val="320"/>
        </w:trPr>
        <w:tc>
          <w:tcPr>
            <w:tcW w:w="4720" w:type="dxa"/>
          </w:tcPr>
          <w:p w14:paraId="0075F779" w14:textId="144FACAD" w:rsidR="0082000F" w:rsidRPr="00CC1111" w:rsidRDefault="0082000F">
            <w:pPr>
              <w:pStyle w:val="TableParagraph"/>
              <w:spacing w:before="37" w:line="240" w:lineRule="auto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旅游业</w:t>
            </w:r>
            <w:proofErr w:type="spellEnd"/>
          </w:p>
        </w:tc>
        <w:tc>
          <w:tcPr>
            <w:tcW w:w="6496" w:type="dxa"/>
          </w:tcPr>
          <w:p w14:paraId="48A381BF" w14:textId="2E0E6DFD" w:rsidR="0082000F" w:rsidRPr="00CC1111" w:rsidRDefault="0082000F">
            <w:pPr>
              <w:pStyle w:val="TableParagraph"/>
              <w:spacing w:before="37" w:line="240" w:lineRule="auto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旅游业务的组织和管理（英文）</w:t>
            </w:r>
          </w:p>
        </w:tc>
      </w:tr>
      <w:tr w:rsidR="0082000F" w:rsidRPr="00CC1111" w14:paraId="65B7F318" w14:textId="77777777">
        <w:trPr>
          <w:trHeight w:val="244"/>
        </w:trPr>
        <w:tc>
          <w:tcPr>
            <w:tcW w:w="4720" w:type="dxa"/>
            <w:vMerge w:val="restart"/>
          </w:tcPr>
          <w:p w14:paraId="610EEC44" w14:textId="6280D0DD" w:rsidR="0082000F" w:rsidRPr="00CC1111" w:rsidRDefault="0082000F">
            <w:pPr>
              <w:pStyle w:val="TableParagraph"/>
              <w:spacing w:before="4" w:line="240" w:lineRule="auto"/>
              <w:ind w:left="33"/>
              <w:jc w:val="left"/>
              <w:rPr>
                <w:rFonts w:eastAsia="KaiTi"/>
                <w:b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b/>
                <w:sz w:val="24"/>
                <w:szCs w:val="24"/>
              </w:rPr>
              <w:t>教育学教育</w:t>
            </w:r>
            <w:proofErr w:type="spellEnd"/>
          </w:p>
        </w:tc>
        <w:tc>
          <w:tcPr>
            <w:tcW w:w="6496" w:type="dxa"/>
          </w:tcPr>
          <w:p w14:paraId="148ADF45" w14:textId="77777777" w:rsidR="0082000F" w:rsidRPr="00CC1111" w:rsidRDefault="0082000F">
            <w:pPr>
              <w:pStyle w:val="TableParagraph"/>
              <w:spacing w:line="240" w:lineRule="auto"/>
              <w:jc w:val="left"/>
              <w:rPr>
                <w:rFonts w:eastAsia="KaiTi"/>
                <w:sz w:val="24"/>
                <w:szCs w:val="24"/>
              </w:rPr>
            </w:pPr>
          </w:p>
        </w:tc>
      </w:tr>
      <w:tr w:rsidR="0082000F" w:rsidRPr="00CC1111" w14:paraId="523FD2FC" w14:textId="77777777">
        <w:trPr>
          <w:trHeight w:val="243"/>
        </w:trPr>
        <w:tc>
          <w:tcPr>
            <w:tcW w:w="4720" w:type="dxa"/>
            <w:vMerge/>
            <w:tcBorders>
              <w:top w:val="nil"/>
            </w:tcBorders>
          </w:tcPr>
          <w:p w14:paraId="5E34E292" w14:textId="77777777" w:rsidR="0082000F" w:rsidRPr="00CC1111" w:rsidRDefault="0082000F">
            <w:pPr>
              <w:rPr>
                <w:rFonts w:eastAsia="KaiTi"/>
                <w:sz w:val="24"/>
                <w:szCs w:val="24"/>
              </w:rPr>
            </w:pPr>
          </w:p>
        </w:tc>
        <w:tc>
          <w:tcPr>
            <w:tcW w:w="6496" w:type="dxa"/>
          </w:tcPr>
          <w:p w14:paraId="2DE4E4D7" w14:textId="42B77692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历史教育</w:t>
            </w:r>
            <w:proofErr w:type="spellEnd"/>
          </w:p>
        </w:tc>
      </w:tr>
      <w:tr w:rsidR="0082000F" w:rsidRPr="00CC1111" w14:paraId="4C19D230" w14:textId="77777777">
        <w:trPr>
          <w:trHeight w:val="243"/>
        </w:trPr>
        <w:tc>
          <w:tcPr>
            <w:tcW w:w="4720" w:type="dxa"/>
            <w:vMerge/>
            <w:tcBorders>
              <w:top w:val="nil"/>
            </w:tcBorders>
          </w:tcPr>
          <w:p w14:paraId="614B831E" w14:textId="77777777" w:rsidR="0082000F" w:rsidRPr="00CC1111" w:rsidRDefault="0082000F">
            <w:pPr>
              <w:rPr>
                <w:rFonts w:eastAsia="KaiTi"/>
                <w:sz w:val="24"/>
                <w:szCs w:val="24"/>
              </w:rPr>
            </w:pPr>
          </w:p>
        </w:tc>
        <w:tc>
          <w:tcPr>
            <w:tcW w:w="6496" w:type="dxa"/>
          </w:tcPr>
          <w:p w14:paraId="28F1F3A3" w14:textId="6236BACC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教育管理</w:t>
            </w:r>
            <w:proofErr w:type="spellEnd"/>
          </w:p>
        </w:tc>
      </w:tr>
      <w:tr w:rsidR="0082000F" w:rsidRPr="00CC1111" w14:paraId="1CB2F4E9" w14:textId="77777777">
        <w:trPr>
          <w:trHeight w:val="243"/>
        </w:trPr>
        <w:tc>
          <w:tcPr>
            <w:tcW w:w="4720" w:type="dxa"/>
            <w:vMerge/>
            <w:tcBorders>
              <w:top w:val="nil"/>
            </w:tcBorders>
          </w:tcPr>
          <w:p w14:paraId="67A509BB" w14:textId="77777777" w:rsidR="0082000F" w:rsidRPr="00CC1111" w:rsidRDefault="0082000F">
            <w:pPr>
              <w:rPr>
                <w:rFonts w:eastAsia="KaiTi"/>
                <w:sz w:val="24"/>
                <w:szCs w:val="24"/>
              </w:rPr>
            </w:pPr>
          </w:p>
        </w:tc>
        <w:tc>
          <w:tcPr>
            <w:tcW w:w="6496" w:type="dxa"/>
          </w:tcPr>
          <w:p w14:paraId="41734AE9" w14:textId="028EDF3C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语言学教育中的方法技术</w:t>
            </w:r>
          </w:p>
        </w:tc>
      </w:tr>
      <w:tr w:rsidR="0082000F" w:rsidRPr="00CC1111" w14:paraId="197D470E" w14:textId="77777777">
        <w:trPr>
          <w:trHeight w:val="244"/>
        </w:trPr>
        <w:tc>
          <w:tcPr>
            <w:tcW w:w="4720" w:type="dxa"/>
            <w:vMerge/>
            <w:tcBorders>
              <w:top w:val="nil"/>
            </w:tcBorders>
          </w:tcPr>
          <w:p w14:paraId="3FAB2E9B" w14:textId="77777777" w:rsidR="0082000F" w:rsidRPr="00CC1111" w:rsidRDefault="0082000F">
            <w:pPr>
              <w:rPr>
                <w:rFonts w:eastAsia="KaiTi"/>
                <w:sz w:val="24"/>
                <w:szCs w:val="24"/>
                <w:lang w:eastAsia="zh-CN"/>
              </w:rPr>
            </w:pPr>
          </w:p>
        </w:tc>
        <w:tc>
          <w:tcPr>
            <w:tcW w:w="6496" w:type="dxa"/>
          </w:tcPr>
          <w:p w14:paraId="2527CC3F" w14:textId="0876DDC1" w:rsidR="0082000F" w:rsidRPr="00CC1111" w:rsidRDefault="0082000F">
            <w:pPr>
              <w:pStyle w:val="TableParagraph"/>
              <w:spacing w:line="225" w:lineRule="exact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体育文化和体育领域的教育</w:t>
            </w:r>
          </w:p>
        </w:tc>
      </w:tr>
      <w:tr w:rsidR="0082000F" w:rsidRPr="00CC1111" w14:paraId="0D8D70E5" w14:textId="77777777">
        <w:trPr>
          <w:trHeight w:val="510"/>
        </w:trPr>
        <w:tc>
          <w:tcPr>
            <w:tcW w:w="4720" w:type="dxa"/>
            <w:vMerge/>
            <w:tcBorders>
              <w:top w:val="nil"/>
            </w:tcBorders>
          </w:tcPr>
          <w:p w14:paraId="1C83B620" w14:textId="77777777" w:rsidR="0082000F" w:rsidRPr="00CC1111" w:rsidRDefault="0082000F">
            <w:pPr>
              <w:rPr>
                <w:rFonts w:eastAsia="KaiTi"/>
                <w:sz w:val="24"/>
                <w:szCs w:val="24"/>
                <w:lang w:eastAsia="zh-CN"/>
              </w:rPr>
            </w:pPr>
          </w:p>
        </w:tc>
        <w:tc>
          <w:tcPr>
            <w:tcW w:w="6496" w:type="dxa"/>
          </w:tcPr>
          <w:p w14:paraId="03EE9BE8" w14:textId="7876D059" w:rsidR="0082000F" w:rsidRPr="00CC1111" w:rsidRDefault="0082000F">
            <w:pPr>
              <w:pStyle w:val="TableParagraph"/>
              <w:spacing w:before="131" w:line="240" w:lineRule="auto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社会经济系统可持续发展的管理</w:t>
            </w:r>
          </w:p>
        </w:tc>
      </w:tr>
      <w:tr w:rsidR="0082000F" w:rsidRPr="00CC1111" w14:paraId="3F66A6D5" w14:textId="77777777">
        <w:trPr>
          <w:trHeight w:val="244"/>
        </w:trPr>
        <w:tc>
          <w:tcPr>
            <w:tcW w:w="4720" w:type="dxa"/>
            <w:vMerge/>
            <w:tcBorders>
              <w:top w:val="nil"/>
            </w:tcBorders>
          </w:tcPr>
          <w:p w14:paraId="1647CD85" w14:textId="77777777" w:rsidR="0082000F" w:rsidRPr="00CC1111" w:rsidRDefault="0082000F">
            <w:pPr>
              <w:rPr>
                <w:rFonts w:eastAsia="KaiTi"/>
                <w:sz w:val="24"/>
                <w:szCs w:val="24"/>
                <w:lang w:eastAsia="zh-CN"/>
              </w:rPr>
            </w:pPr>
          </w:p>
        </w:tc>
        <w:tc>
          <w:tcPr>
            <w:tcW w:w="6496" w:type="dxa"/>
          </w:tcPr>
          <w:p w14:paraId="5BA41F23" w14:textId="0004562C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物理和数学教育</w:t>
            </w:r>
            <w:proofErr w:type="spellEnd"/>
          </w:p>
        </w:tc>
      </w:tr>
      <w:tr w:rsidR="0082000F" w:rsidRPr="00CC1111" w14:paraId="262549EE" w14:textId="77777777">
        <w:trPr>
          <w:trHeight w:val="244"/>
        </w:trPr>
        <w:tc>
          <w:tcPr>
            <w:tcW w:w="4720" w:type="dxa"/>
            <w:vMerge/>
            <w:tcBorders>
              <w:top w:val="nil"/>
            </w:tcBorders>
          </w:tcPr>
          <w:p w14:paraId="06C91F08" w14:textId="77777777" w:rsidR="0082000F" w:rsidRPr="00CC1111" w:rsidRDefault="0082000F">
            <w:pPr>
              <w:rPr>
                <w:rFonts w:eastAsia="KaiTi"/>
                <w:sz w:val="24"/>
                <w:szCs w:val="24"/>
              </w:rPr>
            </w:pPr>
          </w:p>
        </w:tc>
        <w:tc>
          <w:tcPr>
            <w:tcW w:w="6496" w:type="dxa"/>
          </w:tcPr>
          <w:p w14:paraId="6CB83299" w14:textId="51F90F5A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语言教育</w:t>
            </w:r>
            <w:proofErr w:type="spellEnd"/>
          </w:p>
        </w:tc>
      </w:tr>
      <w:tr w:rsidR="0082000F" w:rsidRPr="00CC1111" w14:paraId="44420AD9" w14:textId="77777777" w:rsidTr="0082000F">
        <w:trPr>
          <w:trHeight w:val="313"/>
        </w:trPr>
        <w:tc>
          <w:tcPr>
            <w:tcW w:w="4720" w:type="dxa"/>
          </w:tcPr>
          <w:p w14:paraId="1E849747" w14:textId="1E5B49DD" w:rsidR="0082000F" w:rsidRPr="00CC1111" w:rsidRDefault="0082000F">
            <w:pPr>
              <w:pStyle w:val="TableParagraph"/>
              <w:spacing w:before="131" w:line="240" w:lineRule="auto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特殊（缺陷学）教育</w:t>
            </w:r>
            <w:proofErr w:type="spellEnd"/>
          </w:p>
        </w:tc>
        <w:tc>
          <w:tcPr>
            <w:tcW w:w="6496" w:type="dxa"/>
          </w:tcPr>
          <w:p w14:paraId="709A9E7D" w14:textId="367D7BB5" w:rsidR="0082000F" w:rsidRPr="00CC1111" w:rsidRDefault="0082000F">
            <w:pPr>
              <w:pStyle w:val="TableParagraph"/>
              <w:spacing w:before="22" w:line="234" w:lineRule="exact"/>
              <w:ind w:left="25"/>
              <w:jc w:val="left"/>
              <w:rPr>
                <w:rFonts w:eastAsia="KaiTi"/>
                <w:sz w:val="24"/>
                <w:szCs w:val="24"/>
                <w:lang w:eastAsia="zh-CN"/>
              </w:rPr>
            </w:pPr>
            <w:r w:rsidRPr="00CC1111">
              <w:rPr>
                <w:rFonts w:eastAsia="KaiTi"/>
                <w:sz w:val="24"/>
                <w:szCs w:val="24"/>
                <w:lang w:eastAsia="zh-CN"/>
              </w:rPr>
              <w:t>为残疾人士提供心理及教学支援</w:t>
            </w:r>
          </w:p>
        </w:tc>
      </w:tr>
      <w:tr w:rsidR="0082000F" w:rsidRPr="00CC1111" w14:paraId="4241CA37" w14:textId="77777777">
        <w:trPr>
          <w:trHeight w:val="244"/>
        </w:trPr>
        <w:tc>
          <w:tcPr>
            <w:tcW w:w="4720" w:type="dxa"/>
          </w:tcPr>
          <w:p w14:paraId="04BDA493" w14:textId="2AA658F5" w:rsidR="0082000F" w:rsidRPr="00CC1111" w:rsidRDefault="0082000F">
            <w:pPr>
              <w:pStyle w:val="TableParagraph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语文学</w:t>
            </w:r>
            <w:proofErr w:type="spellEnd"/>
          </w:p>
        </w:tc>
        <w:tc>
          <w:tcPr>
            <w:tcW w:w="6496" w:type="dxa"/>
          </w:tcPr>
          <w:p w14:paraId="7A5F5A6A" w14:textId="21748EA3" w:rsidR="0082000F" w:rsidRPr="00CC1111" w:rsidRDefault="0082000F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国际交流中的俄语</w:t>
            </w:r>
            <w:proofErr w:type="spellEnd"/>
          </w:p>
        </w:tc>
      </w:tr>
      <w:tr w:rsidR="0082000F" w:rsidRPr="00CC1111" w14:paraId="0C16F2E2" w14:textId="77777777">
        <w:trPr>
          <w:trHeight w:val="244"/>
        </w:trPr>
        <w:tc>
          <w:tcPr>
            <w:tcW w:w="4720" w:type="dxa"/>
            <w:vMerge w:val="restart"/>
          </w:tcPr>
          <w:p w14:paraId="60992401" w14:textId="3DB580F7" w:rsidR="0082000F" w:rsidRPr="00CC1111" w:rsidRDefault="0082000F">
            <w:pPr>
              <w:pStyle w:val="TableParagraph"/>
              <w:spacing w:before="122" w:line="240" w:lineRule="auto"/>
              <w:ind w:left="33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文化研究</w:t>
            </w:r>
            <w:proofErr w:type="spellEnd"/>
          </w:p>
        </w:tc>
        <w:tc>
          <w:tcPr>
            <w:tcW w:w="6496" w:type="dxa"/>
          </w:tcPr>
          <w:p w14:paraId="6E071B18" w14:textId="41292AAF" w:rsidR="0082000F" w:rsidRPr="00CC1111" w:rsidRDefault="0026305B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当代艺术与创意产业</w:t>
            </w:r>
            <w:proofErr w:type="spellEnd"/>
          </w:p>
        </w:tc>
      </w:tr>
      <w:tr w:rsidR="0082000F" w:rsidRPr="00CC1111" w14:paraId="673D2D01" w14:textId="77777777">
        <w:trPr>
          <w:trHeight w:val="244"/>
        </w:trPr>
        <w:tc>
          <w:tcPr>
            <w:tcW w:w="4720" w:type="dxa"/>
            <w:vMerge/>
            <w:tcBorders>
              <w:top w:val="nil"/>
            </w:tcBorders>
          </w:tcPr>
          <w:p w14:paraId="62A8FE45" w14:textId="77777777" w:rsidR="0082000F" w:rsidRPr="00CC1111" w:rsidRDefault="0082000F">
            <w:pPr>
              <w:rPr>
                <w:rFonts w:eastAsia="KaiTi"/>
                <w:sz w:val="24"/>
                <w:szCs w:val="24"/>
              </w:rPr>
            </w:pPr>
          </w:p>
        </w:tc>
        <w:tc>
          <w:tcPr>
            <w:tcW w:w="6496" w:type="dxa"/>
          </w:tcPr>
          <w:p w14:paraId="082F8C6A" w14:textId="6D9BDA70" w:rsidR="0082000F" w:rsidRPr="00CC1111" w:rsidRDefault="0026305B">
            <w:pPr>
              <w:pStyle w:val="TableParagraph"/>
              <w:ind w:left="25"/>
              <w:jc w:val="left"/>
              <w:rPr>
                <w:rFonts w:eastAsia="KaiTi"/>
                <w:sz w:val="24"/>
                <w:szCs w:val="24"/>
              </w:rPr>
            </w:pPr>
            <w:proofErr w:type="spellStart"/>
            <w:r w:rsidRPr="00CC1111">
              <w:rPr>
                <w:rFonts w:eastAsia="KaiTi"/>
                <w:sz w:val="24"/>
                <w:szCs w:val="24"/>
              </w:rPr>
              <w:t>佛教哲学与文化</w:t>
            </w:r>
            <w:proofErr w:type="spellEnd"/>
          </w:p>
        </w:tc>
      </w:tr>
    </w:tbl>
    <w:p w14:paraId="2A4FD080" w14:textId="77777777" w:rsidR="00092302" w:rsidRDefault="00092302"/>
    <w:sectPr w:rsidR="00092302">
      <w:type w:val="continuous"/>
      <w:pgSz w:w="16840" w:h="11910" w:orient="landscape"/>
      <w:pgMar w:top="660" w:right="9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40B8"/>
    <w:rsid w:val="00092302"/>
    <w:rsid w:val="0026305B"/>
    <w:rsid w:val="005740B8"/>
    <w:rsid w:val="0082000F"/>
    <w:rsid w:val="00C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1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1" w:line="355" w:lineRule="exact"/>
      <w:ind w:left="4532" w:right="4535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1" w:line="355" w:lineRule="exact"/>
      <w:ind w:left="4532" w:right="4535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Дутова Светлана Юрьевна</dc:creator>
  <cp:lastModifiedBy>Морозова Валентина Сергеевна</cp:lastModifiedBy>
  <cp:revision>2</cp:revision>
  <dcterms:created xsi:type="dcterms:W3CDTF">2024-02-29T07:01:00Z</dcterms:created>
  <dcterms:modified xsi:type="dcterms:W3CDTF">2024-02-29T07:01:00Z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2024-02-29T00:00:00Z</vt:filetime>
  </property>
</Properties>
</file>